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36" w:rsidRPr="00987800" w:rsidRDefault="00E56536" w:rsidP="00E56536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E56536" w:rsidRPr="00E727D1" w:rsidTr="00F609A5">
        <w:tc>
          <w:tcPr>
            <w:tcW w:w="9485" w:type="dxa"/>
          </w:tcPr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E56536" w:rsidRPr="00E727D1" w:rsidTr="00F609A5">
        <w:tc>
          <w:tcPr>
            <w:tcW w:w="9485" w:type="dxa"/>
          </w:tcPr>
          <w:p w:rsidR="00E56536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56536" w:rsidRPr="00E727D1" w:rsidTr="00F609A5">
        <w:tc>
          <w:tcPr>
            <w:tcW w:w="9485" w:type="dxa"/>
          </w:tcPr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56536" w:rsidRPr="00E727D1" w:rsidTr="00F609A5">
        <w:tc>
          <w:tcPr>
            <w:tcW w:w="9485" w:type="dxa"/>
          </w:tcPr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E56536" w:rsidRPr="00E727D1" w:rsidTr="00F609A5">
        <w:tc>
          <w:tcPr>
            <w:tcW w:w="9485" w:type="dxa"/>
          </w:tcPr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56536" w:rsidRPr="00E727D1" w:rsidTr="00F609A5">
        <w:tc>
          <w:tcPr>
            <w:tcW w:w="9485" w:type="dxa"/>
          </w:tcPr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E56536" w:rsidRPr="00E727D1" w:rsidTr="00F609A5">
        <w:trPr>
          <w:trHeight w:val="383"/>
        </w:trPr>
        <w:tc>
          <w:tcPr>
            <w:tcW w:w="9485" w:type="dxa"/>
          </w:tcPr>
          <w:p w:rsidR="00E56536" w:rsidRPr="00E727D1" w:rsidRDefault="00E56536" w:rsidP="00F609A5">
            <w:pPr>
              <w:pStyle w:val="a5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E56536" w:rsidRPr="00E727D1" w:rsidTr="00F609A5">
        <w:tc>
          <w:tcPr>
            <w:tcW w:w="9485" w:type="dxa"/>
          </w:tcPr>
          <w:p w:rsidR="00E56536" w:rsidRPr="00E727D1" w:rsidRDefault="00E56536" w:rsidP="00D75FE7">
            <w:pPr>
              <w:pStyle w:val="a5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D75FE7"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D75FE7">
              <w:rPr>
                <w:rFonts w:ascii="Times New Roman" w:hAnsi="Times New Roman"/>
                <w:b/>
                <w:spacing w:val="20"/>
                <w:sz w:val="28"/>
              </w:rPr>
              <w:t>марта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D75FE7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Pr="001F5A9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D75FE7">
              <w:rPr>
                <w:rFonts w:ascii="Times New Roman" w:hAnsi="Times New Roman"/>
                <w:b/>
                <w:spacing w:val="20"/>
                <w:sz w:val="28"/>
              </w:rPr>
              <w:t>146</w:t>
            </w:r>
          </w:p>
        </w:tc>
      </w:tr>
      <w:tr w:rsidR="00E56536" w:rsidRPr="00E727D1" w:rsidTr="00F609A5">
        <w:tc>
          <w:tcPr>
            <w:tcW w:w="9485" w:type="dxa"/>
          </w:tcPr>
          <w:p w:rsidR="00E56536" w:rsidRPr="00E727D1" w:rsidRDefault="00E56536" w:rsidP="00F609A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E56536" w:rsidRDefault="00E56536" w:rsidP="00E56536">
      <w:pPr>
        <w:ind w:left="5664"/>
        <w:jc w:val="both"/>
      </w:pPr>
    </w:p>
    <w:p w:rsidR="00E56536" w:rsidRPr="00432C91" w:rsidRDefault="00E56536" w:rsidP="00E56536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О состоянии правопорядка на территории</w:t>
      </w:r>
    </w:p>
    <w:p w:rsidR="00E56536" w:rsidRPr="00432C91" w:rsidRDefault="00E56536" w:rsidP="00E56536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Тулунского муниципального района</w:t>
      </w:r>
    </w:p>
    <w:p w:rsidR="00E56536" w:rsidRPr="00764EC8" w:rsidRDefault="00E56536" w:rsidP="00E56536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за 2014 года</w:t>
      </w:r>
    </w:p>
    <w:p w:rsidR="00E56536" w:rsidRDefault="00E56536" w:rsidP="00E56536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E56536" w:rsidRDefault="00E56536" w:rsidP="00E56536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Заслушав  отчет начальника МО МВД России «Тулунский» Ю.А Нитипчука «</w:t>
      </w:r>
      <w:r w:rsidRPr="0091684A">
        <w:rPr>
          <w:sz w:val="28"/>
          <w:szCs w:val="28"/>
        </w:rPr>
        <w:t>О состоянии правопорядка на территории</w:t>
      </w:r>
      <w:r>
        <w:rPr>
          <w:sz w:val="28"/>
          <w:szCs w:val="28"/>
        </w:rPr>
        <w:t xml:space="preserve"> </w:t>
      </w:r>
      <w:r w:rsidRPr="0091684A">
        <w:rPr>
          <w:sz w:val="28"/>
          <w:szCs w:val="28"/>
        </w:rPr>
        <w:t>Т</w:t>
      </w:r>
      <w:r>
        <w:rPr>
          <w:sz w:val="28"/>
          <w:szCs w:val="28"/>
        </w:rPr>
        <w:t xml:space="preserve">улунского муниципального района </w:t>
      </w:r>
      <w:r w:rsidRPr="0091684A">
        <w:rPr>
          <w:sz w:val="28"/>
          <w:szCs w:val="28"/>
        </w:rPr>
        <w:t>за  2014</w:t>
      </w:r>
      <w:r>
        <w:rPr>
          <w:sz w:val="28"/>
          <w:szCs w:val="28"/>
        </w:rPr>
        <w:t xml:space="preserve"> год»</w:t>
      </w:r>
      <w:r w:rsidRPr="009168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8B74C6">
        <w:rPr>
          <w:sz w:val="28"/>
          <w:szCs w:val="28"/>
        </w:rPr>
        <w:t xml:space="preserve">27, 44 Устава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E56536" w:rsidRDefault="00E56536" w:rsidP="00E56536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E56536" w:rsidRDefault="00E56536" w:rsidP="00E56536">
      <w:pPr>
        <w:ind w:left="360" w:hanging="360"/>
        <w:jc w:val="center"/>
        <w:rPr>
          <w:sz w:val="28"/>
          <w:szCs w:val="28"/>
        </w:rPr>
      </w:pPr>
    </w:p>
    <w:p w:rsidR="00E56536" w:rsidRPr="00E56536" w:rsidRDefault="00E56536" w:rsidP="00E56536">
      <w:pPr>
        <w:jc w:val="both"/>
        <w:rPr>
          <w:sz w:val="28"/>
          <w:szCs w:val="28"/>
        </w:rPr>
      </w:pPr>
      <w:r w:rsidRPr="00E56536">
        <w:rPr>
          <w:sz w:val="28"/>
          <w:szCs w:val="28"/>
        </w:rPr>
        <w:t>Отчет начальника МО МВД России «Тулунский» «О состоянии правопорядка на территории Тулунского муниципального района за 2014 год» (прилагается) принять к сведению.</w:t>
      </w:r>
    </w:p>
    <w:p w:rsidR="00E56536" w:rsidRDefault="00E56536" w:rsidP="00E56536">
      <w:pPr>
        <w:ind w:left="360" w:hanging="360"/>
        <w:jc w:val="both"/>
        <w:rPr>
          <w:sz w:val="28"/>
          <w:szCs w:val="28"/>
        </w:rPr>
      </w:pPr>
    </w:p>
    <w:p w:rsidR="00E56536" w:rsidRDefault="00E56536" w:rsidP="00E56536">
      <w:pPr>
        <w:ind w:left="360" w:hanging="360"/>
        <w:jc w:val="both"/>
        <w:rPr>
          <w:sz w:val="28"/>
          <w:szCs w:val="28"/>
        </w:rPr>
      </w:pPr>
    </w:p>
    <w:p w:rsidR="00E56536" w:rsidRDefault="00E56536" w:rsidP="00E56536">
      <w:pPr>
        <w:ind w:left="360" w:hanging="360"/>
        <w:jc w:val="both"/>
        <w:rPr>
          <w:sz w:val="28"/>
          <w:szCs w:val="28"/>
        </w:rPr>
      </w:pPr>
    </w:p>
    <w:p w:rsidR="00E56536" w:rsidRDefault="00E56536" w:rsidP="00E565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E56536" w:rsidRDefault="00E56536" w:rsidP="00E5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E56536" w:rsidRDefault="00E56536" w:rsidP="00E56536">
      <w:pPr>
        <w:ind w:left="360" w:hanging="360"/>
        <w:jc w:val="both"/>
        <w:rPr>
          <w:sz w:val="28"/>
          <w:szCs w:val="28"/>
        </w:rPr>
      </w:pPr>
    </w:p>
    <w:p w:rsidR="00E56536" w:rsidRDefault="00E56536" w:rsidP="00E56536">
      <w:pPr>
        <w:ind w:left="360" w:hanging="360"/>
        <w:jc w:val="both"/>
        <w:rPr>
          <w:sz w:val="28"/>
          <w:szCs w:val="28"/>
        </w:rPr>
      </w:pPr>
    </w:p>
    <w:p w:rsidR="00E56536" w:rsidRPr="00765FD5" w:rsidRDefault="00E56536" w:rsidP="00E56536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>Мэр Тулунского</w:t>
      </w:r>
    </w:p>
    <w:p w:rsidR="008125C2" w:rsidRDefault="00E56536" w:rsidP="00E56536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   </w:t>
      </w:r>
      <w:r w:rsidRPr="00765F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М.И. Гильдебрант</w:t>
      </w:r>
    </w:p>
    <w:p w:rsidR="00103C49" w:rsidRDefault="00103C49" w:rsidP="00E56536">
      <w:pPr>
        <w:outlineLvl w:val="0"/>
        <w:rPr>
          <w:sz w:val="28"/>
          <w:szCs w:val="28"/>
        </w:rPr>
      </w:pPr>
    </w:p>
    <w:p w:rsidR="00103C49" w:rsidRDefault="00103C49" w:rsidP="00E56536">
      <w:pPr>
        <w:outlineLvl w:val="0"/>
        <w:rPr>
          <w:sz w:val="28"/>
          <w:szCs w:val="28"/>
        </w:rPr>
      </w:pPr>
    </w:p>
    <w:p w:rsidR="00103C49" w:rsidRDefault="00103C49" w:rsidP="00E56536">
      <w:pPr>
        <w:outlineLvl w:val="0"/>
        <w:rPr>
          <w:sz w:val="28"/>
          <w:szCs w:val="28"/>
        </w:rPr>
      </w:pPr>
    </w:p>
    <w:p w:rsidR="00103C49" w:rsidRDefault="00103C49" w:rsidP="00E56536">
      <w:pPr>
        <w:outlineLvl w:val="0"/>
        <w:rPr>
          <w:sz w:val="28"/>
          <w:szCs w:val="28"/>
        </w:rPr>
      </w:pPr>
    </w:p>
    <w:p w:rsidR="00103C49" w:rsidRDefault="00103C49" w:rsidP="00E56536">
      <w:pPr>
        <w:outlineLvl w:val="0"/>
        <w:rPr>
          <w:sz w:val="28"/>
          <w:szCs w:val="28"/>
        </w:rPr>
      </w:pPr>
    </w:p>
    <w:p w:rsidR="00103C49" w:rsidRDefault="00103C49" w:rsidP="00E56536">
      <w:pPr>
        <w:outlineLvl w:val="0"/>
        <w:rPr>
          <w:sz w:val="28"/>
          <w:szCs w:val="28"/>
        </w:rPr>
      </w:pPr>
    </w:p>
    <w:p w:rsidR="00103C49" w:rsidRDefault="00103C49" w:rsidP="00E56536">
      <w:pPr>
        <w:outlineLvl w:val="0"/>
        <w:rPr>
          <w:sz w:val="28"/>
          <w:szCs w:val="28"/>
        </w:rPr>
      </w:pPr>
    </w:p>
    <w:p w:rsidR="00103C49" w:rsidRDefault="00103C49" w:rsidP="00E56536">
      <w:pPr>
        <w:outlineLvl w:val="0"/>
        <w:rPr>
          <w:sz w:val="28"/>
          <w:szCs w:val="28"/>
        </w:rPr>
      </w:pPr>
    </w:p>
    <w:p w:rsidR="00103C49" w:rsidRDefault="00103C49" w:rsidP="00103C49">
      <w:pPr>
        <w:jc w:val="right"/>
        <w:outlineLvl w:val="0"/>
      </w:pPr>
      <w:r w:rsidRPr="00103C49">
        <w:lastRenderedPageBreak/>
        <w:t>Приложение к решению Думы</w:t>
      </w:r>
    </w:p>
    <w:p w:rsidR="00103C49" w:rsidRDefault="00103C49" w:rsidP="00103C49">
      <w:pPr>
        <w:jc w:val="right"/>
        <w:outlineLvl w:val="0"/>
      </w:pPr>
      <w:r>
        <w:t xml:space="preserve"> Тулунского </w:t>
      </w:r>
      <w:r w:rsidRPr="00103C49">
        <w:t>муниципального района</w:t>
      </w:r>
    </w:p>
    <w:p w:rsidR="00103C49" w:rsidRPr="00103C49" w:rsidRDefault="00103C49" w:rsidP="00103C49">
      <w:pPr>
        <w:jc w:val="right"/>
        <w:outlineLvl w:val="0"/>
      </w:pPr>
      <w:r w:rsidRPr="00103C49">
        <w:t xml:space="preserve"> от «_</w:t>
      </w:r>
      <w:r w:rsidR="00D75FE7">
        <w:t>31</w:t>
      </w:r>
      <w:r w:rsidRPr="00103C49">
        <w:t>_»___</w:t>
      </w:r>
      <w:r w:rsidR="00D75FE7">
        <w:t>марта</w:t>
      </w:r>
      <w:r w:rsidRPr="00103C49">
        <w:t>_____ 2015г. №_</w:t>
      </w:r>
      <w:r w:rsidR="00D75FE7">
        <w:t>146</w:t>
      </w:r>
      <w:r w:rsidRPr="00103C49">
        <w:t>_</w:t>
      </w:r>
    </w:p>
    <w:p w:rsidR="00103C49" w:rsidRPr="00103C49" w:rsidRDefault="00103C49" w:rsidP="00E56536">
      <w:pPr>
        <w:outlineLvl w:val="0"/>
      </w:pPr>
    </w:p>
    <w:p w:rsidR="00103C49" w:rsidRPr="00103C49" w:rsidRDefault="00103C49" w:rsidP="00E56536">
      <w:pPr>
        <w:outlineLvl w:val="0"/>
      </w:pPr>
    </w:p>
    <w:p w:rsidR="00103C49" w:rsidRPr="00103C49" w:rsidRDefault="00103C49" w:rsidP="00E56536">
      <w:pPr>
        <w:outlineLvl w:val="0"/>
      </w:pPr>
    </w:p>
    <w:p w:rsidR="00103C49" w:rsidRPr="00103C49" w:rsidRDefault="00103C49" w:rsidP="00103C49">
      <w:pPr>
        <w:pStyle w:val="a3"/>
        <w:ind w:firstLine="567"/>
        <w:jc w:val="center"/>
        <w:rPr>
          <w:sz w:val="24"/>
          <w:szCs w:val="24"/>
        </w:rPr>
      </w:pPr>
      <w:r w:rsidRPr="00103C49">
        <w:rPr>
          <w:sz w:val="24"/>
          <w:szCs w:val="24"/>
        </w:rPr>
        <w:t>Справка</w:t>
      </w:r>
    </w:p>
    <w:p w:rsidR="00103C49" w:rsidRPr="00103C49" w:rsidRDefault="00103C49" w:rsidP="00103C49">
      <w:pPr>
        <w:pStyle w:val="a3"/>
        <w:ind w:firstLine="567"/>
        <w:jc w:val="center"/>
        <w:rPr>
          <w:sz w:val="24"/>
          <w:szCs w:val="24"/>
        </w:rPr>
      </w:pPr>
      <w:r w:rsidRPr="00103C49">
        <w:rPr>
          <w:sz w:val="24"/>
          <w:szCs w:val="24"/>
        </w:rPr>
        <w:t>«О состоянии правопорядка на территории Тулунского муниципального района за 2014 год».</w:t>
      </w:r>
    </w:p>
    <w:p w:rsidR="00103C49" w:rsidRPr="00103C49" w:rsidRDefault="00103C49" w:rsidP="00103C49">
      <w:pPr>
        <w:pStyle w:val="a3"/>
        <w:ind w:firstLine="567"/>
        <w:jc w:val="center"/>
        <w:rPr>
          <w:sz w:val="24"/>
          <w:szCs w:val="24"/>
        </w:rPr>
      </w:pP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В отчетном периоде </w:t>
      </w:r>
      <w:proofErr w:type="gramStart"/>
      <w:r w:rsidRPr="00103C49">
        <w:rPr>
          <w:sz w:val="24"/>
          <w:szCs w:val="24"/>
        </w:rPr>
        <w:t>повседневная</w:t>
      </w:r>
      <w:proofErr w:type="gramEnd"/>
      <w:r w:rsidRPr="00103C49">
        <w:rPr>
          <w:sz w:val="24"/>
          <w:szCs w:val="24"/>
        </w:rPr>
        <w:t xml:space="preserve"> работа отдела проходила в непростых условиях, в том числе экономической нестабильности,  как в стране, так и в регионе. 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>На территории района личным составом обеспечен правопорядок более 25 общественно массовых мероприятий. Большой комплекс предупредительных мер обеспечен в период подготовки и проведения избирательной кампании 2014 года.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103C49">
        <w:rPr>
          <w:sz w:val="24"/>
          <w:szCs w:val="24"/>
        </w:rPr>
        <w:t>Криминогенная обстановка</w:t>
      </w:r>
      <w:proofErr w:type="gramEnd"/>
      <w:r w:rsidRPr="00103C49">
        <w:rPr>
          <w:sz w:val="24"/>
          <w:szCs w:val="24"/>
        </w:rPr>
        <w:t xml:space="preserve">  характеризовалась увеличением на 0,5% количества зарегистрированных преступлений и снижением раскрываемости преступлений на 10,3%, за счет числа нераскрытых преступлений экологической направленности (незаконных рубок древесины, лесных пожаров).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>Возросла результативность в пресечении преступлений экономической направленности, а также с незаконным оборотом наркотиков и оружия.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>Не допущен рост грабежей, краж чужого имущества, в том числе квалифицированных краж из квартир, угонов АМТ, разбоев, фактов мошенничества.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Раскрываемость убийств, фактов УПТВЗ, изнасилований, грабежей, разбоев, угонов АМТ, экономических преступлений достаточно высока по области. 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Однако в предупреждении и раскрытии преступлений есть определенные проблемы. На территории района совершено в два раза больше убийств (с 3 до 7), при этом выявлено меньше преступлений превентивной направленности  на  9,4%. 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Увеличилось количество преступлений в лесной сфере (+2,9%), в том числе лесных пожаров (с 5 до 37). 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По-прежнему одним из центральных вопросов остается профилактика правонарушений. Основной упор необходимо делать на предупреждение противоправных деяний со стороны лиц, так называемой группы повышенного риска: ране судимых, наркоманов, алкоголиков, семейных </w:t>
      </w:r>
      <w:proofErr w:type="gramStart"/>
      <w:r w:rsidRPr="00103C49">
        <w:rPr>
          <w:sz w:val="24"/>
          <w:szCs w:val="24"/>
        </w:rPr>
        <w:t>дебоширов</w:t>
      </w:r>
      <w:proofErr w:type="gramEnd"/>
      <w:r w:rsidRPr="00103C49">
        <w:rPr>
          <w:sz w:val="24"/>
          <w:szCs w:val="24"/>
        </w:rPr>
        <w:t xml:space="preserve">, </w:t>
      </w:r>
      <w:proofErr w:type="spellStart"/>
      <w:r w:rsidRPr="00103C49">
        <w:rPr>
          <w:sz w:val="24"/>
          <w:szCs w:val="24"/>
        </w:rPr>
        <w:t>поднадзорников</w:t>
      </w:r>
      <w:proofErr w:type="spellEnd"/>
      <w:r w:rsidRPr="00103C49">
        <w:rPr>
          <w:sz w:val="24"/>
          <w:szCs w:val="24"/>
        </w:rPr>
        <w:t>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Одним из приоритетных вопросов правоохранительной деятельности остается проведение профилактической работы в отношении граждан, имеющих не снятую и не погашенную судимость, с </w:t>
      </w:r>
      <w:proofErr w:type="gramStart"/>
      <w:r w:rsidRPr="00103C49">
        <w:rPr>
          <w:sz w:val="24"/>
          <w:szCs w:val="24"/>
        </w:rPr>
        <w:t>лицами</w:t>
      </w:r>
      <w:proofErr w:type="gramEnd"/>
      <w:r w:rsidRPr="00103C49">
        <w:rPr>
          <w:sz w:val="24"/>
          <w:szCs w:val="24"/>
        </w:rPr>
        <w:t xml:space="preserve"> состоящими на различных профилактических учетах, целью которой является предупреждение совершения ими повторных преступлений.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Особое место в системе профилактике занимает работа с несовершеннолетними правонарушителями. Наработана практика по использованию меры пресечения в виде домашнего ареста. Принимались меры по пресечению преступной деятельности </w:t>
      </w:r>
      <w:proofErr w:type="spellStart"/>
      <w:r w:rsidRPr="00103C49">
        <w:rPr>
          <w:sz w:val="24"/>
          <w:szCs w:val="24"/>
        </w:rPr>
        <w:t>несубъектам</w:t>
      </w:r>
      <w:proofErr w:type="spellEnd"/>
      <w:r w:rsidRPr="00103C49">
        <w:rPr>
          <w:sz w:val="24"/>
          <w:szCs w:val="24"/>
        </w:rPr>
        <w:t xml:space="preserve">. Проведен ряд оперативно-профилактических мероприятий, направленных на предотвращение преступлений и правонарушений среди несовершеннолетних (16), в ходе которых 361 лицо привлечено к административной ответственности, в том числе 177 по закону Иркутской области «О комендантском часе». </w:t>
      </w:r>
      <w:proofErr w:type="gramStart"/>
      <w:r w:rsidRPr="00103C49">
        <w:rPr>
          <w:sz w:val="24"/>
          <w:szCs w:val="24"/>
        </w:rPr>
        <w:t>Проведена</w:t>
      </w:r>
      <w:proofErr w:type="gramEnd"/>
      <w:r w:rsidRPr="00103C49">
        <w:rPr>
          <w:sz w:val="24"/>
          <w:szCs w:val="24"/>
        </w:rPr>
        <w:t xml:space="preserve"> работа по выявлению нарушений ограничений торговли по продаже спиртных напитков несовершеннолетним. Принимаемыми мерами удалось снизить «подростковую» преступность на 9,6%. Данная преступность не может быть внутренней проблемой МО МВД. И решать её необходимо комплексно всеми заинтересованными ведомствами с привлечением общественности. Прежде </w:t>
      </w:r>
      <w:proofErr w:type="gramStart"/>
      <w:r w:rsidRPr="00103C49">
        <w:rPr>
          <w:sz w:val="24"/>
          <w:szCs w:val="24"/>
        </w:rPr>
        <w:t>всего</w:t>
      </w:r>
      <w:proofErr w:type="gramEnd"/>
      <w:r w:rsidRPr="00103C49">
        <w:rPr>
          <w:sz w:val="24"/>
          <w:szCs w:val="24"/>
        </w:rPr>
        <w:t xml:space="preserve"> это решение вопроса трудоустройства, оказания правовой, социальной и психологической помощи.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lastRenderedPageBreak/>
        <w:t xml:space="preserve">По результатам отчетного периода количество преступлений, совершенных в общественных местах и на улицах возросло. С целью принятия мер по профилактике правонарушений в общественных местах проведен анализ </w:t>
      </w:r>
      <w:proofErr w:type="gramStart"/>
      <w:r w:rsidRPr="00103C49">
        <w:rPr>
          <w:sz w:val="24"/>
          <w:szCs w:val="24"/>
        </w:rPr>
        <w:t>криминогенной обстановки</w:t>
      </w:r>
      <w:proofErr w:type="gramEnd"/>
      <w:r w:rsidRPr="00103C49">
        <w:rPr>
          <w:sz w:val="24"/>
          <w:szCs w:val="24"/>
        </w:rPr>
        <w:t>, обозначены районы сельской местности. В связи с чем, проводились точечные локальные отработки жилого сектора микрорайонов города и населенных пунктов района, маршруты наружных нарядов в вечернее и ночное время приближены к «местам особого внимания» с целью обеспечения общественного порядка и общественной безопасности.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>В отчетном периоде произошло на территории района 34 ДТП, погибло 7 лиц, ранено 41 лицо. Сопутствующим фактором ДТП является нарушение правил обгона, маневрирование, превышение установленной скорости движения. Проведено 20 ОПМ по линии ОГИБДД с целью сокращения количества ДТП и снижения тяжести их последствий.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На осложнение ситуации на дорогах по-прежнему существенное влияние оказывает растущее количество транспортных средств и намеренное пренебрежение водителями и пешеходами правилами дорожного движения. </w:t>
      </w:r>
    </w:p>
    <w:p w:rsidR="00103C49" w:rsidRPr="00103C49" w:rsidRDefault="00103C49" w:rsidP="00103C49">
      <w:pPr>
        <w:pStyle w:val="a3"/>
        <w:ind w:firstLine="567"/>
        <w:jc w:val="both"/>
        <w:rPr>
          <w:sz w:val="24"/>
          <w:szCs w:val="24"/>
        </w:rPr>
      </w:pPr>
      <w:r w:rsidRPr="00103C49">
        <w:rPr>
          <w:sz w:val="24"/>
          <w:szCs w:val="24"/>
        </w:rPr>
        <w:t>В отчетном периоде действовало 3 программы профилактики. Запланировано финансирование на реализацию данных программ в размере 0,4 млн. рублей. Профинансировано в полном объеме.</w:t>
      </w:r>
    </w:p>
    <w:p w:rsidR="00103C49" w:rsidRP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P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Pr="00103C49" w:rsidRDefault="00103C49" w:rsidP="00103C49">
      <w:pPr>
        <w:pStyle w:val="a3"/>
        <w:jc w:val="both"/>
        <w:rPr>
          <w:sz w:val="24"/>
          <w:szCs w:val="24"/>
        </w:rPr>
      </w:pPr>
      <w:r w:rsidRPr="00103C49">
        <w:rPr>
          <w:sz w:val="24"/>
          <w:szCs w:val="24"/>
        </w:rPr>
        <w:t xml:space="preserve">Начальник </w:t>
      </w:r>
    </w:p>
    <w:p w:rsidR="00103C49" w:rsidRPr="00103C49" w:rsidRDefault="00103C49" w:rsidP="00103C49">
      <w:pPr>
        <w:pStyle w:val="a3"/>
        <w:jc w:val="both"/>
        <w:rPr>
          <w:sz w:val="24"/>
          <w:szCs w:val="24"/>
        </w:rPr>
      </w:pPr>
      <w:r w:rsidRPr="00103C49">
        <w:rPr>
          <w:sz w:val="24"/>
          <w:szCs w:val="24"/>
        </w:rPr>
        <w:t>подполковник полиции                                                                                 Ю.А. Нитипчук</w:t>
      </w:r>
    </w:p>
    <w:p w:rsidR="00103C49" w:rsidRP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P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Pr="00103C49" w:rsidRDefault="00103C49" w:rsidP="00103C49">
      <w:pPr>
        <w:pStyle w:val="a3"/>
        <w:jc w:val="both"/>
        <w:rPr>
          <w:sz w:val="24"/>
          <w:szCs w:val="24"/>
        </w:rPr>
      </w:pPr>
    </w:p>
    <w:p w:rsidR="00103C49" w:rsidRPr="00103C49" w:rsidRDefault="00103C49" w:rsidP="00E56536">
      <w:pPr>
        <w:outlineLvl w:val="0"/>
      </w:pPr>
      <w:bookmarkStart w:id="0" w:name="_GoBack"/>
      <w:bookmarkEnd w:id="0"/>
    </w:p>
    <w:sectPr w:rsidR="00103C49" w:rsidRPr="0010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36"/>
    <w:rsid w:val="00103C49"/>
    <w:rsid w:val="008125C2"/>
    <w:rsid w:val="00D75FE7"/>
    <w:rsid w:val="00E56536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Шапка (герб)"/>
    <w:basedOn w:val="a"/>
    <w:rsid w:val="00E5653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List Paragraph"/>
    <w:basedOn w:val="a"/>
    <w:uiPriority w:val="34"/>
    <w:qFormat/>
    <w:rsid w:val="00E56536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03C49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Шапка (герб)"/>
    <w:basedOn w:val="a"/>
    <w:rsid w:val="00E5653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List Paragraph"/>
    <w:basedOn w:val="a"/>
    <w:uiPriority w:val="34"/>
    <w:qFormat/>
    <w:rsid w:val="00E56536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03C4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2015-03-04T08:58:00Z</cp:lastPrinted>
  <dcterms:created xsi:type="dcterms:W3CDTF">2015-03-04T08:56:00Z</dcterms:created>
  <dcterms:modified xsi:type="dcterms:W3CDTF">2015-04-02T02:44:00Z</dcterms:modified>
</cp:coreProperties>
</file>